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选择题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1.牛顿粘质实质上反映了单位时间通过单位面积的（   ）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A.质量     B.质量通量    C. 动量         D.动量通量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性定律实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2.某管路要求输送流量Q=80m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/h，压头H=18m今有以下四台离心泵，分别能提供的一定的流量Q与压头H最适宜选用(    )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A.Q=88m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/h，H=28m            B.Q=90m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/h，H=28m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C.Q=88m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/h，H=20m            D.Q=88m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/h，H=16m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2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已知床层的空隙率为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，颗粒的比表面积为a，空床气速为u，则孔道的当量直径为（  ）</w:t>
      </w:r>
    </w:p>
    <w:p>
      <w:pPr>
        <w:numPr>
          <w:ilvl w:val="0"/>
          <w:numId w:val="3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de=4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/[a(1+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)]   B.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/[a(1-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)]  C.4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/[a(1-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)]  D.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/[a(1+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val="en-US" w:eastAsia="zh-CN"/>
        </w:rPr>
        <w:t>ε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)]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4.通过三层等厚度的平壁进行导热，第一层平壁温度由120℃降为80℃，第二层80℃降为45℃，第三层45℃降为40℃，热阻分别为记R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，R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，R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，判断(    )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A.R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1＞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2+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 xml:space="preserve">    B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1=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2+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 xml:space="preserve">      C.R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1＜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2+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R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val="en-US" w:eastAsia="zh-CN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 xml:space="preserve">   D.无法比较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5.设计一单管程换热器，用热流体加热某一易结构的有机液体，已知该有机液体75℃会发生分解，热流体105℃降为50℃，有机液体15℃升为40℃，应采用（   ）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A.逆流，冷流体走管内            B.逆流，冷流体走管外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C.并流，冷流体走管内            D.并流，冷流体走管外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二、填空题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1.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操作中逆流吸收塔，以纯溶剂为吸收剂，今入塔的混合气体中溶质的含量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y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eastAsia="zh-CN"/>
        </w:rPr>
        <w:t>进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上升，其他条件不变，则出塔y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eastAsia="zh-CN"/>
        </w:rPr>
        <w:t>出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回收率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  <w:lang w:eastAsia="zh-CN"/>
        </w:rPr>
        <w:t>η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（变大，变小，不变，不确定）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二元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理想物系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的相对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挥发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度为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2，在全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回流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下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操作，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已知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某理论板上的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y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 xml:space="preserve"> 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eastAsia="zh-CN"/>
        </w:rPr>
        <w:t>N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=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0.5则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y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bscript"/>
          <w:lang w:eastAsia="zh-CN"/>
        </w:rPr>
        <w:t xml:space="preserve"> N +1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=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3.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随着填料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塔塔径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的增大，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塔内气液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分布不均匀的现象更为严重，这种现象称为填料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塔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的放大效应，解决的常见措施有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4.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在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液液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萃取中，选择性系数的定义是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val="en-US" w:eastAsia="zh-CN"/>
        </w:rPr>
        <w:t xml:space="preserve"> 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丙酮（A）-乙酸乙脂（B）-水（S）在30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℃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下的一组平衡数据（质量分数）：乙酸乙脂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相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A为4.8%， B为91.0%，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S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为4.2%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水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相：A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 xml:space="preserve">为3.2% 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B为8.3%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 xml:space="preserve"> S为88.5%则其选择性系数为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</w:pP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5.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在对流干燥器中最常用的干燥介质是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他既是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又是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u w:val="none"/>
          <w:lang w:eastAsia="zh-CN"/>
        </w:rPr>
        <w:t>____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三、简答题：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分别写出斯托克斯区与牛顿区颗粒沉降速度的计算公式与应用前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提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；若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降尘室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的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含尘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气体温度升高，气体质量及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含尘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情况不变，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降尘室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出口气体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含尘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量将有何变化，并分析其原因。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default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四、实验题：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精馏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实验采用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板式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精馏塔分离乙醇与水，测定全回流以及某一回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流比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下，稳定操作后的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全塔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理论板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数，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总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板效率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以及单板效率，在某一回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流比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下，测得进料的质量浓度为25.0%，温度为25.4℃，回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流液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的温度为30℃，塔顶产品的质量浓度为92.87%，回流比为2.67 (注：质量浓度为92.8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7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%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时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乙醇水溶液的泡点为78.26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℃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，乙醇在54.13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℃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时比热容为124.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05KJ/Kmol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32"/>
          <w:szCs w:val="32"/>
          <w:lang w:val="en-US" w:eastAsia="zh-CN"/>
        </w:rPr>
        <w:t>∙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k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，汽化潜热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:41074KJ/Kmol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32"/>
          <w:szCs w:val="32"/>
          <w:lang w:val="en-US" w:eastAsia="zh-CN"/>
        </w:rPr>
        <w:t>∙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k,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水在54.13℃时比热容为75.16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KJ/Kmol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32"/>
          <w:szCs w:val="32"/>
          <w:lang w:val="en-US" w:eastAsia="zh-CN"/>
        </w:rPr>
        <w:t>∙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k,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汽化潜热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: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42,643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KJ/Kmol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32"/>
          <w:szCs w:val="32"/>
          <w:lang w:val="en-US" w:eastAsia="zh-CN"/>
        </w:rPr>
        <w:t>∙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k</w:t>
      </w:r>
    </w:p>
    <w:p>
      <w:pPr>
        <w:numPr>
          <w:ilvl w:val="0"/>
          <w:numId w:val="4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画出示意图，并标明主要控制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点</w:t>
      </w:r>
    </w:p>
    <w:p>
      <w:pPr>
        <w:numPr>
          <w:ilvl w:val="0"/>
          <w:numId w:val="4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写出总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板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效率与单板效率的计算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式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并说明其之间有什么关系</w:t>
      </w:r>
    </w:p>
    <w:p>
      <w:pPr>
        <w:numPr>
          <w:ilvl w:val="0"/>
          <w:numId w:val="4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写出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实测回流比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下的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精馏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段操作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线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方程</w:t>
      </w:r>
    </w:p>
    <w:p>
      <w:pPr>
        <w:numPr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default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五、计算题（每小题15分、共90）</w:t>
      </w:r>
    </w:p>
    <w:p>
      <w:pPr>
        <w:numPr>
          <w:ilvl w:val="0"/>
          <w:numId w:val="5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某化工厂在生产过程中需要用氮气将原料罐中的液态危险品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压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送到密封的高位槽中，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以供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反应器使用，生产过程为连续操作，原料和高料槽液位维持恒定，液面差为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Z=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8m，高位槽内的表压为1.215×10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5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Pa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，输送管路的管径为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Φ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38</w:t>
      </w:r>
      <w:r>
        <w:rPr>
          <w:rFonts w:hint="eastAsia" w:ascii="汉仪青云简" w:hAnsi="汉仪青云简" w:cs="方正楷体_GBK"/>
          <w:b w:val="0"/>
          <w:bCs w:val="0"/>
          <w:color w:val="auto"/>
          <w:sz w:val="32"/>
          <w:szCs w:val="32"/>
          <w:lang w:val="en-US" w:eastAsia="zh-CN"/>
        </w:rPr>
        <w:t>×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3mm,管路系统的总长度(包括除进口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出口和阀门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A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之外所有局部阻力的当量长度)为16.7m,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当阀门全开时，其局部阻力系数为1.18，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管内流动的摩擦系数为0.0256，输送流量为45m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/h。求</w:t>
      </w:r>
    </w:p>
    <w:p>
      <w:pPr>
        <w:numPr>
          <w:ilvl w:val="0"/>
          <w:numId w:val="6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管路系统的压头损失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(2)所需氮气的绝对压力 (液态危险品的密度为1106kg/m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</w:rPr>
        <w:t>3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,当地大气压为755mmHg)</w:t>
      </w:r>
    </w:p>
    <w:p>
      <w:pPr>
        <w:numPr>
          <w:ilvl w:val="0"/>
          <w:numId w:val="0"/>
        </w:numPr>
        <w:rPr>
          <w:rFonts w:hint="eastAsia" w:ascii="汉仪青云简" w:hAnsi="汉仪青云简" w:eastAsia="宋体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2.用离心泵将河水输送至12m高的敞口高位槽，输送管路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尺寸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如下：管内径40mm，管长50m(包括所有局部阻力的当量长度 )，摩擦系数为0.03，离心泵的转速为1500r/min,离心泵的性能曲线为He=50-200q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v(qv：m³/min,He:m)求</w:t>
      </w:r>
    </w:p>
    <w:p>
      <w:pPr>
        <w:numPr>
          <w:ilvl w:val="0"/>
          <w:numId w:val="7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管路的流量和泵的有效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功率</w:t>
      </w: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(2)若流量要求提高20% ，则泵的转速应该为多少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？</w:t>
      </w:r>
    </w:p>
    <w:p>
      <w:pPr>
        <w:numPr>
          <w:ilvl w:val="0"/>
          <w:numId w:val="0"/>
        </w:numPr>
        <w:rPr>
          <w:rFonts w:hint="eastAsia" w:ascii="汉仪青云简" w:hAnsi="汉仪青云简" w:eastAsia="宋体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3.以过滤面积为25m²的板框压滤机恒压过滤某种悬浮液,压降1.47×10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5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Pa时过滤常数K=1.5×10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-5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m²/s,装拆时间为三十分钟，滤饼不可压缩，过滤介质阻力不计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求</w:t>
      </w:r>
    </w:p>
    <w:p>
      <w:pPr>
        <w:numPr>
          <w:ilvl w:val="0"/>
          <w:numId w:val="8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若过滤后需洗涤滤饼，洗涤与过滤压差相同 ，洗液与滤液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黏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度相同，洗液量为滤液量的J倍(体积)，J=0.10,求最大生产力 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如果洗液与滤液的比值不变，装拆时间不变，把过滤洗涤压差降至9.81×10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vertAlign w:val="superscript"/>
          <w:lang w:val="en-US" w:eastAsia="zh-CN"/>
        </w:rPr>
        <w:t>4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Pa,求最大生产能力为原来的几倍？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9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有一套管式换热器 ，内管为</w:t>
      </w:r>
      <w:r>
        <w:rPr>
          <w:rFonts w:hint="eastAsia" w:ascii="方正楷体_GBK" w:hAnsi="方正楷体_GBK" w:eastAsia="方正楷体_GBK" w:cs="方正楷体_GBK"/>
          <w:b w:val="0"/>
          <w:bCs w:val="0"/>
          <w:color w:val="auto"/>
          <w:sz w:val="32"/>
          <w:szCs w:val="32"/>
        </w:rPr>
        <w:t>Φ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180mm×10mm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的钢管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,用水冷却原油,逆流操作,水在内管中流动,冷却水的进口温度为15℃，出口温度为55℃。水的定压比热容为 4.18KJ/(kg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℃)，原油在环隙中流动，流量为500kg/h,其平均定压比热容为3.35KJ/(kg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℃),要求从90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℃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冷却至40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℃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,已知水的对流传热系数为 1000W/(m²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℃)，油侧的对流传热系数为299W/</w:t>
      </w:r>
      <w:bookmarkStart w:id="0" w:name="_GoBack"/>
      <w:bookmarkEnd w:id="0"/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(m²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℃),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管壁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及污垢热阻可不计,求</w:t>
      </w:r>
    </w:p>
    <w:p>
      <w:pPr>
        <w:numPr>
          <w:ilvl w:val="0"/>
          <w:numId w:val="1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总传热系数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套管换热器的有效长度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(3)所需冷却水的用量(忽略热损失)</w:t>
      </w:r>
    </w:p>
    <w:p>
      <w:pPr>
        <w:numPr>
          <w:ilvl w:val="0"/>
          <w:numId w:val="0"/>
        </w:numPr>
        <w:rPr>
          <w:rFonts w:hint="eastAsia" w:ascii="汉仪青云简" w:hAnsi="汉仪青云简" w:eastAsia="宋体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5.一个逆流操作吸收塔 ，填料层度为3m ，用清水吸收空气一某组分混合气中的某组分 ，混合气体的流率为20Kmol/(m²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h),其中含某组分6%(体积百分数)，吸收率为98% ，清水流率为40Kmol/(m²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.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h)，操作条件下平衡关系为y=0.8x,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试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估算在塔径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吸收率及其他操作条件不变时，操作压力增加一倍 此时完成相同分离任务所需填料层高度将变为多少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eastAsia="zh-CN"/>
        </w:rPr>
        <w:t>？</w:t>
      </w:r>
    </w:p>
    <w:p>
      <w:pPr>
        <w:numPr>
          <w:ilvl w:val="0"/>
          <w:numId w:val="0"/>
        </w:numPr>
        <w:rPr>
          <w:rFonts w:hint="eastAsia" w:ascii="汉仪青云简" w:hAnsi="汉仪青云简" w:eastAsia="宋体" w:cs="方正楷体_GBK"/>
          <w:b w:val="0"/>
          <w:bCs w:val="0"/>
          <w:color w:val="auto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6.在常压下将湿基水含量为20%的湿物料以500kg/h的速度送入干燥器 ,干燥产品的含水量为2%,干燥介质为空气 ,空气的质量流量为4000kg/h,相对湿度为0.6,干球湿度为30℃(30℃水的饱和蒸汽压为4.25KPa),经预热后进入干燥器 ,废气出口温度为40℃，设为理想干燥过程 求</w:t>
      </w:r>
    </w:p>
    <w:p>
      <w:pPr>
        <w:numPr>
          <w:ilvl w:val="0"/>
          <w:numId w:val="11"/>
        </w:numP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空气离开干燥器的湿度 </w:t>
      </w:r>
    </w:p>
    <w:p>
      <w:pPr>
        <w:numPr>
          <w:ilvl w:val="0"/>
          <w:numId w:val="11"/>
        </w:numPr>
        <w:ind w:left="0" w:leftChars="0" w:firstLine="0" w:firstLine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空气预热器的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  <w:t>温</w:t>
      </w: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度</w:t>
      </w:r>
    </w:p>
    <w:p>
      <w:pPr>
        <w:numPr>
          <w:ilvl w:val="0"/>
          <w:numId w:val="0"/>
        </w:numPr>
        <w:ind w:leftChars="0"/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汉仪青云简" w:hAnsi="汉仪青云简" w:eastAsia="汉仪青云简" w:cs="方正楷体_GBK"/>
          <w:b w:val="0"/>
          <w:bCs w:val="0"/>
          <w:color w:val="auto"/>
          <w:sz w:val="32"/>
          <w:szCs w:val="32"/>
        </w:rPr>
        <w:t>(3)空气在预热器中获得的热量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汉仪青云简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49A052"/>
    <w:multiLevelType w:val="singleLevel"/>
    <w:tmpl w:val="8949A0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0836B8A"/>
    <w:multiLevelType w:val="singleLevel"/>
    <w:tmpl w:val="D0836B8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0"/>
    <w:multiLevelType w:val="singleLevel"/>
    <w:tmpl w:val="00000000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00000001"/>
    <w:multiLevelType w:val="singleLevel"/>
    <w:tmpl w:val="00000001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00000002"/>
    <w:multiLevelType w:val="singleLevel"/>
    <w:tmpl w:val="00000002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00000003"/>
    <w:multiLevelType w:val="singleLevel"/>
    <w:tmpl w:val="000000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4"/>
    <w:multiLevelType w:val="singleLevel"/>
    <w:tmpl w:val="00000004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0000005"/>
    <w:multiLevelType w:val="singleLevel"/>
    <w:tmpl w:val="00000005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00000006"/>
    <w:multiLevelType w:val="singleLevel"/>
    <w:tmpl w:val="0000000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9">
    <w:nsid w:val="00000007"/>
    <w:multiLevelType w:val="singleLevel"/>
    <w:tmpl w:val="00000007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357A4564"/>
    <w:multiLevelType w:val="singleLevel"/>
    <w:tmpl w:val="357A456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ZDFlNGNkNjkyY2IwZGJlNmY3ZThlNDQyZTBkN2EifQ=="/>
  </w:docVars>
  <w:rsids>
    <w:rsidRoot w:val="00000000"/>
    <w:rsid w:val="04DC0E55"/>
    <w:rsid w:val="1FC14941"/>
    <w:rsid w:val="3DF7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1848</Words>
  <Characters>2484</Characters>
  <Paragraphs>39</Paragraphs>
  <TotalTime>92</TotalTime>
  <ScaleCrop>false</ScaleCrop>
  <LinksUpToDate>false</LinksUpToDate>
  <CharactersWithSpaces>2621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2022-12-29T11:37:00Z</dcterms:created>
  <dc:creator>iPad</dc:creator>
  <cp:lastModifiedBy>箴言</cp:lastModifiedBy>
  <dcterms:modified xsi:type="dcterms:W3CDTF">2023-04-22T09:54:24Z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B6E7EF3A24B81C21870BAD6378282C59</vt:lpwstr>
  </property>
</Properties>
</file>